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5" w:rsidRDefault="00170D3C" w:rsidP="00170D3C">
      <w:pPr>
        <w:jc w:val="center"/>
        <w:rPr>
          <w:rFonts w:ascii="Arial" w:hAnsi="Arial" w:cs="Arial" w:hint="eastAsia"/>
          <w:b/>
          <w:bCs/>
          <w:color w:val="042047"/>
          <w:sz w:val="50"/>
          <w:szCs w:val="50"/>
          <w:shd w:val="clear" w:color="auto" w:fill="FFFFFF"/>
        </w:rPr>
      </w:pP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全民健康保險自付差額</w:t>
      </w:r>
      <w:proofErr w:type="gramStart"/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特</w:t>
      </w:r>
      <w:proofErr w:type="gramEnd"/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材類別「高密度</w:t>
      </w: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/</w:t>
      </w: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高解析度定位診斷導管」作業彙編</w:t>
      </w: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(</w:t>
      </w: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民眾篇</w:t>
      </w:r>
      <w:r>
        <w:rPr>
          <w:rFonts w:ascii="Arial" w:hAnsi="Arial" w:cs="Arial"/>
          <w:b/>
          <w:bCs/>
          <w:color w:val="042047"/>
          <w:sz w:val="50"/>
          <w:szCs w:val="50"/>
          <w:shd w:val="clear" w:color="auto" w:fill="FFFFFF"/>
        </w:rPr>
        <w:t>)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一、什麼是健保給付之傳統「環形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以下」及「環形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以上」可控式電極導管</w:t>
      </w:r>
      <w:r w:rsidRPr="00170D3C">
        <w:rPr>
          <w:rFonts w:ascii="Arial" w:hAnsi="Arial" w:cs="Arial"/>
          <w:color w:val="000000"/>
        </w:rPr>
        <w:t>?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proofErr w:type="gramStart"/>
      <w:r w:rsidRPr="00170D3C">
        <w:rPr>
          <w:rFonts w:ascii="Arial" w:hAnsi="Arial" w:cs="Arial"/>
          <w:color w:val="000000"/>
        </w:rPr>
        <w:t>環形標測導管</w:t>
      </w:r>
      <w:proofErr w:type="gramEnd"/>
      <w:r w:rsidRPr="00170D3C">
        <w:rPr>
          <w:rFonts w:ascii="Arial" w:hAnsi="Arial" w:cs="Arial"/>
          <w:color w:val="000000"/>
        </w:rPr>
        <w:t>為可彎式環狀導管，在其尖端有一個</w:t>
      </w:r>
      <w:r w:rsidRPr="00170D3C">
        <w:rPr>
          <w:rFonts w:ascii="Arial" w:hAnsi="Arial" w:cs="Arial"/>
          <w:color w:val="000000"/>
        </w:rPr>
        <w:t xml:space="preserve"> 4.5 Fr </w:t>
      </w:r>
      <w:r w:rsidRPr="00170D3C">
        <w:rPr>
          <w:rFonts w:ascii="Arial" w:hAnsi="Arial" w:cs="Arial"/>
          <w:color w:val="000000"/>
        </w:rPr>
        <w:t>環狀物，裝有可用來刺激和記錄</w:t>
      </w:r>
      <w:proofErr w:type="gramStart"/>
      <w:r w:rsidRPr="00170D3C">
        <w:rPr>
          <w:rFonts w:ascii="Arial" w:hAnsi="Arial" w:cs="Arial"/>
          <w:color w:val="000000"/>
        </w:rPr>
        <w:t>的鉑金電極</w:t>
      </w:r>
      <w:proofErr w:type="gramEnd"/>
      <w:r w:rsidRPr="00170D3C">
        <w:rPr>
          <w:rFonts w:ascii="Arial" w:hAnsi="Arial" w:cs="Arial"/>
          <w:color w:val="000000"/>
        </w:rPr>
        <w:t>，搭配</w:t>
      </w:r>
      <w:r w:rsidRPr="00170D3C">
        <w:rPr>
          <w:rFonts w:ascii="Arial" w:hAnsi="Arial" w:cs="Arial"/>
          <w:color w:val="000000"/>
        </w:rPr>
        <w:t>3D</w:t>
      </w:r>
      <w:r w:rsidRPr="00170D3C">
        <w:rPr>
          <w:rFonts w:ascii="Arial" w:hAnsi="Arial" w:cs="Arial"/>
          <w:color w:val="000000"/>
        </w:rPr>
        <w:t>電生理導航系統時，具有同時能準確獲取數個位置的心電圖，快速獲取訊號的功用。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傳統環形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以上導管電極數量多於傳統環形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以下導管，在獲取訊號的功能上，會比傳統環形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以下導管較快速獲取更多訊號，但是電氣訊號解析度相似：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以下導管：導管尖端的環型上分布</w:t>
      </w:r>
      <w:r w:rsidRPr="00170D3C">
        <w:rPr>
          <w:rFonts w:ascii="Arial" w:hAnsi="Arial" w:cs="Arial"/>
          <w:color w:val="000000"/>
        </w:rPr>
        <w:t>≤10</w:t>
      </w:r>
      <w:r w:rsidRPr="00170D3C">
        <w:rPr>
          <w:rFonts w:ascii="Arial" w:hAnsi="Arial" w:cs="Arial"/>
          <w:color w:val="000000"/>
        </w:rPr>
        <w:t>個電極。</w:t>
      </w:r>
      <w:r w:rsidRPr="00170D3C">
        <w:rPr>
          <w:rFonts w:ascii="Arial" w:hAnsi="Arial" w:cs="Arial"/>
          <w:color w:val="000000"/>
        </w:rPr>
        <w:br/>
      </w:r>
      <w:r w:rsidRPr="00170D3C">
        <w:rPr>
          <w:rFonts w:ascii="Arial" w:hAnsi="Arial" w:cs="Arial"/>
          <w:color w:val="000000"/>
        </w:rPr>
        <w:t>傳統環形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以上導管：導管尖端的環型上分布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以上的電極。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目前健保給付之「環形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以下」及「環形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以上」可控式電極導管特材品項，可至健保署全球資訊網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健保服務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健保藥品與特材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健保特殊材料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健保特材品項查詢健保特殊材料品項網路查詢服務。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 </w:t>
      </w:r>
      <w:r w:rsidRPr="00170D3C">
        <w:rPr>
          <w:rFonts w:ascii="Arial" w:hAnsi="Arial" w:cs="Arial"/>
          <w:color w:val="000000"/>
        </w:rPr>
        <w:t>二、什麼是健保給付保險對象自付差額之「高密度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高解析度定位診斷導管電極較傳統環形導管多，電極密度高。高密度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目前電極數為</w:t>
      </w:r>
      <w:r w:rsidRPr="00170D3C">
        <w:rPr>
          <w:rFonts w:ascii="Arial" w:hAnsi="Arial" w:cs="Arial"/>
          <w:color w:val="000000"/>
        </w:rPr>
        <w:t>&gt;10</w:t>
      </w:r>
      <w:proofErr w:type="gramStart"/>
      <w:r w:rsidRPr="00170D3C">
        <w:rPr>
          <w:rFonts w:ascii="Arial" w:hAnsi="Arial" w:cs="Arial"/>
          <w:color w:val="000000"/>
        </w:rPr>
        <w:t>極</w:t>
      </w:r>
      <w:proofErr w:type="gramEnd"/>
      <w:r w:rsidRPr="00170D3C">
        <w:rPr>
          <w:rFonts w:ascii="Arial" w:hAnsi="Arial" w:cs="Arial"/>
          <w:color w:val="000000"/>
        </w:rPr>
        <w:t>~64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，市面上有平板型、</w:t>
      </w:r>
      <w:proofErr w:type="gramStart"/>
      <w:r w:rsidRPr="00170D3C">
        <w:rPr>
          <w:rFonts w:ascii="Arial" w:hAnsi="Arial" w:cs="Arial"/>
          <w:color w:val="000000"/>
        </w:rPr>
        <w:t>爪型</w:t>
      </w:r>
      <w:bookmarkStart w:id="0" w:name="_GoBack"/>
      <w:bookmarkEnd w:id="0"/>
      <w:r w:rsidRPr="00170D3C">
        <w:rPr>
          <w:rFonts w:ascii="Arial" w:hAnsi="Arial" w:cs="Arial"/>
          <w:color w:val="000000"/>
        </w:rPr>
        <w:t>及</w:t>
      </w:r>
      <w:proofErr w:type="gramEnd"/>
      <w:r w:rsidRPr="00170D3C">
        <w:rPr>
          <w:rFonts w:ascii="Arial" w:hAnsi="Arial" w:cs="Arial"/>
          <w:color w:val="000000"/>
        </w:rPr>
        <w:t>球型。因此，高密度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電極電氣訊號解析度與準確度較高，偵測心臟電位訊號的品質更好，建模速度較快，可以明顯縮短收集電生理訊號時間，更能判別心律不整傳導的速度與方向，以及心臟組織內傳導速度慢的區域，冀能快速精</w:t>
      </w:r>
      <w:proofErr w:type="gramStart"/>
      <w:r w:rsidRPr="00170D3C">
        <w:rPr>
          <w:rFonts w:ascii="Arial" w:hAnsi="Arial" w:cs="Arial"/>
          <w:color w:val="000000"/>
        </w:rPr>
        <w:t>準</w:t>
      </w:r>
      <w:proofErr w:type="gramEnd"/>
      <w:r w:rsidRPr="00170D3C">
        <w:rPr>
          <w:rFonts w:ascii="Arial" w:hAnsi="Arial" w:cs="Arial"/>
          <w:color w:val="000000"/>
        </w:rPr>
        <w:t>找出病灶。</w:t>
      </w:r>
      <w:proofErr w:type="gramStart"/>
      <w:r w:rsidRPr="00170D3C">
        <w:rPr>
          <w:rFonts w:ascii="Arial" w:hAnsi="Arial" w:cs="Arial"/>
          <w:color w:val="000000"/>
        </w:rPr>
        <w:t>此外，</w:t>
      </w:r>
      <w:proofErr w:type="gramEnd"/>
      <w:r w:rsidRPr="00170D3C">
        <w:rPr>
          <w:rFonts w:ascii="Arial" w:hAnsi="Arial" w:cs="Arial"/>
          <w:color w:val="000000"/>
        </w:rPr>
        <w:t>國內外相關研究亦證實可以增加手術的成功率。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 </w:t>
      </w:r>
      <w:r w:rsidRPr="00170D3C">
        <w:rPr>
          <w:rFonts w:ascii="Arial" w:hAnsi="Arial" w:cs="Arial"/>
          <w:color w:val="000000"/>
        </w:rPr>
        <w:t>三、健保給付之傳統「環形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以下」及「環形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以上」可控式電極導管與「高密度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高解析度定位診斷導管」的比較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以下及傳統環形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以上可控式電極導管，導管電極間距較大，電極密度低。電氣訊號解析度與準確度相對較低，建模速度較慢，收集電生理訊號時間較長。而傳統環形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以上雖在獲取訊號的功能上，會比傳統環形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以下導管較快速獲取更多訊號，但未能明顯改善傳統環形</w:t>
      </w:r>
      <w:r w:rsidRPr="00170D3C">
        <w:rPr>
          <w:rFonts w:ascii="Arial" w:hAnsi="Arial" w:cs="Arial"/>
          <w:color w:val="000000"/>
        </w:rPr>
        <w:t>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(≤10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以下之導管其電極密度及電氣訊號解析度之限制。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目前電極數為</w:t>
      </w:r>
      <w:r w:rsidRPr="00170D3C">
        <w:rPr>
          <w:rFonts w:ascii="Arial" w:hAnsi="Arial" w:cs="Arial"/>
          <w:color w:val="000000"/>
        </w:rPr>
        <w:t>&gt;10</w:t>
      </w:r>
      <w:proofErr w:type="gramStart"/>
      <w:r w:rsidRPr="00170D3C">
        <w:rPr>
          <w:rFonts w:ascii="Arial" w:hAnsi="Arial" w:cs="Arial"/>
          <w:color w:val="000000"/>
        </w:rPr>
        <w:t>極</w:t>
      </w:r>
      <w:proofErr w:type="gramEnd"/>
      <w:r w:rsidRPr="00170D3C">
        <w:rPr>
          <w:rFonts w:ascii="Arial" w:hAnsi="Arial" w:cs="Arial"/>
          <w:color w:val="000000"/>
        </w:rPr>
        <w:t>~64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，市面上有平板型、</w:t>
      </w:r>
      <w:proofErr w:type="gramStart"/>
      <w:r w:rsidRPr="00170D3C">
        <w:rPr>
          <w:rFonts w:ascii="Arial" w:hAnsi="Arial" w:cs="Arial"/>
          <w:color w:val="000000"/>
        </w:rPr>
        <w:t>爪型及</w:t>
      </w:r>
      <w:proofErr w:type="gramEnd"/>
      <w:r w:rsidRPr="00170D3C">
        <w:rPr>
          <w:rFonts w:ascii="Arial" w:hAnsi="Arial" w:cs="Arial"/>
          <w:color w:val="000000"/>
        </w:rPr>
        <w:t>球型。高密度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高解析度定位診斷導管電極較多，電極密度高，明顯提升電氣訊號解析度與準確度，更能藉由判別心律不整傳導的速度與方向，以及心臟組織內傳導速度慢的區域，</w:t>
      </w:r>
      <w:proofErr w:type="gramStart"/>
      <w:r w:rsidRPr="00170D3C">
        <w:rPr>
          <w:rFonts w:ascii="Arial" w:hAnsi="Arial" w:cs="Arial"/>
          <w:color w:val="000000"/>
        </w:rPr>
        <w:t>釐</w:t>
      </w:r>
      <w:proofErr w:type="gramEnd"/>
      <w:r w:rsidRPr="00170D3C">
        <w:rPr>
          <w:rFonts w:ascii="Arial" w:hAnsi="Arial" w:cs="Arial"/>
          <w:color w:val="000000"/>
        </w:rPr>
        <w:t>清心律不整的機轉及適合治療的位置。</w:t>
      </w:r>
      <w:proofErr w:type="gramStart"/>
      <w:r w:rsidRPr="00170D3C">
        <w:rPr>
          <w:rFonts w:ascii="Arial" w:hAnsi="Arial" w:cs="Arial"/>
          <w:color w:val="000000"/>
        </w:rPr>
        <w:t>此外，</w:t>
      </w:r>
      <w:proofErr w:type="gramEnd"/>
      <w:r w:rsidRPr="00170D3C">
        <w:rPr>
          <w:rFonts w:ascii="Arial" w:hAnsi="Arial" w:cs="Arial"/>
          <w:color w:val="000000"/>
        </w:rPr>
        <w:t>建模速度較快，可以明顯縮短收集電生理訊號時間，有效縮短手術時間，更能增加手術的成功率。惟因每位病人的病情不同，且適用的部位亦不相同，仍需再詢問專業醫師建議後選擇使用。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 </w:t>
      </w:r>
      <w:r w:rsidRPr="00170D3C">
        <w:rPr>
          <w:rFonts w:ascii="Arial" w:hAnsi="Arial" w:cs="Arial"/>
          <w:color w:val="000000"/>
        </w:rPr>
        <w:t>四、全民健康保險為什麼同意自付差額之「高密度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依據全民健康保險藥物給付項目及支付標準共同擬訂會議</w:t>
      </w:r>
      <w:proofErr w:type="gramStart"/>
      <w:r w:rsidRPr="00170D3C">
        <w:rPr>
          <w:rFonts w:ascii="Arial" w:hAnsi="Arial" w:cs="Arial"/>
          <w:color w:val="000000"/>
        </w:rPr>
        <w:t>特</w:t>
      </w:r>
      <w:proofErr w:type="gramEnd"/>
      <w:r w:rsidRPr="00170D3C">
        <w:rPr>
          <w:rFonts w:ascii="Arial" w:hAnsi="Arial" w:cs="Arial"/>
          <w:color w:val="000000"/>
        </w:rPr>
        <w:t>材部分第</w:t>
      </w:r>
      <w:r w:rsidRPr="00170D3C">
        <w:rPr>
          <w:rFonts w:ascii="Arial" w:hAnsi="Arial" w:cs="Arial"/>
          <w:color w:val="000000"/>
        </w:rPr>
        <w:t>67</w:t>
      </w:r>
      <w:r w:rsidRPr="00170D3C">
        <w:rPr>
          <w:rFonts w:ascii="Arial" w:hAnsi="Arial" w:cs="Arial"/>
          <w:color w:val="000000"/>
        </w:rPr>
        <w:t>次</w:t>
      </w:r>
      <w:r w:rsidRPr="00170D3C">
        <w:rPr>
          <w:rFonts w:ascii="Arial" w:hAnsi="Arial" w:cs="Arial"/>
          <w:color w:val="000000"/>
        </w:rPr>
        <w:t>(112</w:t>
      </w:r>
      <w:r w:rsidRPr="00170D3C">
        <w:rPr>
          <w:rFonts w:ascii="Arial" w:hAnsi="Arial" w:cs="Arial"/>
          <w:color w:val="000000"/>
        </w:rPr>
        <w:t>年</w:t>
      </w:r>
      <w:r w:rsidRPr="00170D3C">
        <w:rPr>
          <w:rFonts w:ascii="Arial" w:hAnsi="Arial" w:cs="Arial"/>
          <w:color w:val="000000"/>
        </w:rPr>
        <w:t>11</w:t>
      </w:r>
      <w:r w:rsidRPr="00170D3C">
        <w:rPr>
          <w:rFonts w:ascii="Arial" w:hAnsi="Arial" w:cs="Arial"/>
          <w:color w:val="000000"/>
        </w:rPr>
        <w:t>月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會議決議，高密度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</w:t>
      </w:r>
      <w:proofErr w:type="gramStart"/>
      <w:r w:rsidRPr="00170D3C">
        <w:rPr>
          <w:rFonts w:ascii="Arial" w:hAnsi="Arial" w:cs="Arial"/>
          <w:color w:val="000000"/>
        </w:rPr>
        <w:t>特</w:t>
      </w:r>
      <w:proofErr w:type="gramEnd"/>
      <w:r w:rsidRPr="00170D3C">
        <w:rPr>
          <w:rFonts w:ascii="Arial" w:hAnsi="Arial" w:cs="Arial"/>
          <w:color w:val="000000"/>
        </w:rPr>
        <w:t>材具有高密度定位之優勢，對於治療複雜性心律</w:t>
      </w:r>
      <w:proofErr w:type="gramStart"/>
      <w:r w:rsidRPr="00170D3C">
        <w:rPr>
          <w:rFonts w:ascii="Arial" w:hAnsi="Arial" w:cs="Arial"/>
          <w:color w:val="000000"/>
        </w:rPr>
        <w:t>不整有其</w:t>
      </w:r>
      <w:proofErr w:type="gramEnd"/>
      <w:r w:rsidRPr="00170D3C">
        <w:rPr>
          <w:rFonts w:ascii="Arial" w:hAnsi="Arial" w:cs="Arial"/>
          <w:color w:val="000000"/>
        </w:rPr>
        <w:t>臨床效益，另對於電燒的成功率及無復發率有幫助，故同意將該類</w:t>
      </w:r>
      <w:proofErr w:type="gramStart"/>
      <w:r w:rsidRPr="00170D3C">
        <w:rPr>
          <w:rFonts w:ascii="Arial" w:hAnsi="Arial" w:cs="Arial"/>
          <w:color w:val="000000"/>
        </w:rPr>
        <w:t>特</w:t>
      </w:r>
      <w:proofErr w:type="gramEnd"/>
      <w:r w:rsidRPr="00170D3C">
        <w:rPr>
          <w:rFonts w:ascii="Arial" w:hAnsi="Arial" w:cs="Arial"/>
          <w:color w:val="000000"/>
        </w:rPr>
        <w:t>材列為自付差額之品項。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 </w:t>
      </w:r>
      <w:r w:rsidRPr="00170D3C">
        <w:rPr>
          <w:rFonts w:ascii="Arial" w:hAnsi="Arial" w:cs="Arial"/>
          <w:color w:val="000000"/>
        </w:rPr>
        <w:t>五、健保如何部分給付「高密度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高解析度定位診斷導管」之費用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保險對象如符合「高密度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高解析度定位診斷導管」的給付規定，經醫師詳細說明並充分瞭解後，病患同意選用者，由健保依「傳統環形</w:t>
      </w:r>
      <w:r w:rsidRPr="00170D3C">
        <w:rPr>
          <w:rFonts w:ascii="Arial" w:hAnsi="Arial" w:cs="Arial"/>
          <w:color w:val="000000"/>
        </w:rPr>
        <w:t>&gt;10</w:t>
      </w:r>
      <w:r w:rsidRPr="00170D3C">
        <w:rPr>
          <w:rFonts w:ascii="Arial" w:hAnsi="Arial" w:cs="Arial"/>
          <w:color w:val="000000"/>
        </w:rPr>
        <w:t>極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不含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以上」可控式電極導管的支付價格支付，不足的部分，則由保險對象自行負擔。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 </w:t>
      </w:r>
      <w:r w:rsidRPr="00170D3C">
        <w:rPr>
          <w:rFonts w:ascii="Arial" w:hAnsi="Arial" w:cs="Arial"/>
          <w:color w:val="000000"/>
        </w:rPr>
        <w:t>六、醫療院所應告知病患哪些事項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醫療院所提供保險對象應自付差額之特殊材料時，為使民眾獲得充分資訊，告知程序應為二階段作業，說明如下：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(</w:t>
      </w:r>
      <w:proofErr w:type="gramStart"/>
      <w:r w:rsidRPr="00170D3C">
        <w:rPr>
          <w:rFonts w:ascii="Arial" w:hAnsi="Arial" w:cs="Arial"/>
          <w:color w:val="000000"/>
        </w:rPr>
        <w:t>一</w:t>
      </w:r>
      <w:proofErr w:type="gramEnd"/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第一階段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lastRenderedPageBreak/>
        <w:t>1.</w:t>
      </w:r>
      <w:proofErr w:type="gramStart"/>
      <w:r w:rsidRPr="00170D3C">
        <w:rPr>
          <w:rFonts w:ascii="Arial" w:hAnsi="Arial" w:cs="Arial"/>
          <w:color w:val="000000"/>
        </w:rPr>
        <w:t>醫</w:t>
      </w:r>
      <w:proofErr w:type="gramEnd"/>
      <w:r w:rsidRPr="00170D3C">
        <w:rPr>
          <w:rFonts w:ascii="Arial" w:hAnsi="Arial" w:cs="Arial"/>
          <w:color w:val="000000"/>
        </w:rPr>
        <w:t>事機構應於手術或處置前</w:t>
      </w:r>
      <w:r w:rsidRPr="00170D3C">
        <w:rPr>
          <w:rFonts w:ascii="Arial" w:hAnsi="Arial" w:cs="Arial"/>
          <w:color w:val="000000"/>
        </w:rPr>
        <w:t>2</w:t>
      </w:r>
      <w:r w:rsidRPr="00170D3C">
        <w:rPr>
          <w:rFonts w:ascii="Arial" w:hAnsi="Arial" w:cs="Arial"/>
          <w:color w:val="000000"/>
        </w:rPr>
        <w:t>日（緊急情況除外），由醫師交付說明書予保險對象或家屬，同時充分向保險對象或家屬解說，並由醫師及保險對象或家屬共同簽名一式二份，一份交由保險對象或家屬保留，另一份則保留於病歷中。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2.</w:t>
      </w:r>
      <w:r w:rsidRPr="00170D3C">
        <w:rPr>
          <w:rFonts w:ascii="Arial" w:hAnsi="Arial" w:cs="Arial"/>
          <w:color w:val="000000"/>
        </w:rPr>
        <w:t>說明書內容包括：自付差額</w:t>
      </w:r>
      <w:proofErr w:type="gramStart"/>
      <w:r w:rsidRPr="00170D3C">
        <w:rPr>
          <w:rFonts w:ascii="Arial" w:hAnsi="Arial" w:cs="Arial"/>
          <w:color w:val="000000"/>
        </w:rPr>
        <w:t>特材品</w:t>
      </w:r>
      <w:proofErr w:type="gramEnd"/>
      <w:r w:rsidRPr="00170D3C">
        <w:rPr>
          <w:rFonts w:ascii="Arial" w:hAnsi="Arial" w:cs="Arial"/>
          <w:color w:val="000000"/>
        </w:rPr>
        <w:t>項之費用及產品特性、使用原因、應注意事項、副作用與健保給</w:t>
      </w:r>
      <w:proofErr w:type="gramStart"/>
      <w:r w:rsidRPr="00170D3C">
        <w:rPr>
          <w:rFonts w:ascii="Arial" w:hAnsi="Arial" w:cs="Arial"/>
          <w:color w:val="000000"/>
        </w:rPr>
        <w:t>付品</w:t>
      </w:r>
      <w:proofErr w:type="gramEnd"/>
      <w:r w:rsidRPr="00170D3C">
        <w:rPr>
          <w:rFonts w:ascii="Arial" w:hAnsi="Arial" w:cs="Arial"/>
          <w:color w:val="000000"/>
        </w:rPr>
        <w:t>項之療效比較。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二</w:t>
      </w:r>
      <w:r w:rsidRPr="00170D3C">
        <w:rPr>
          <w:rFonts w:ascii="Arial" w:hAnsi="Arial" w:cs="Arial"/>
          <w:color w:val="000000"/>
        </w:rPr>
        <w:t>)</w:t>
      </w:r>
      <w:r w:rsidRPr="00170D3C">
        <w:rPr>
          <w:rFonts w:ascii="Arial" w:hAnsi="Arial" w:cs="Arial"/>
          <w:color w:val="000000"/>
        </w:rPr>
        <w:t>第二階段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1.</w:t>
      </w:r>
      <w:r w:rsidRPr="00170D3C">
        <w:rPr>
          <w:rFonts w:ascii="Arial" w:hAnsi="Arial" w:cs="Arial"/>
          <w:color w:val="000000"/>
        </w:rPr>
        <w:t>保險對象或其家屬於獲得相關醫療資訊後，醫療院所應另行向其說明收費情形並給予充分考慮時間，再請其簽署同意書一式二份，一份交由保險對象保留，另一份則保留於病歷中。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2.</w:t>
      </w:r>
      <w:r w:rsidRPr="00170D3C">
        <w:rPr>
          <w:rFonts w:ascii="Arial" w:hAnsi="Arial" w:cs="Arial"/>
          <w:color w:val="000000"/>
        </w:rPr>
        <w:t>同意書載明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(1)</w:t>
      </w:r>
      <w:r w:rsidRPr="00170D3C">
        <w:rPr>
          <w:rFonts w:ascii="Arial" w:hAnsi="Arial" w:cs="Arial"/>
          <w:color w:val="000000"/>
        </w:rPr>
        <w:t>自付差額品項名稱及品項代碼。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(2)</w:t>
      </w:r>
      <w:r w:rsidRPr="00170D3C">
        <w:rPr>
          <w:rFonts w:ascii="Arial" w:hAnsi="Arial" w:cs="Arial"/>
          <w:color w:val="000000"/>
        </w:rPr>
        <w:t>醫療器材許可證字號。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(3)</w:t>
      </w:r>
      <w:r w:rsidRPr="00170D3C">
        <w:rPr>
          <w:rFonts w:ascii="Arial" w:hAnsi="Arial" w:cs="Arial"/>
          <w:color w:val="000000"/>
        </w:rPr>
        <w:t>單價、數量及自費金額。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醫療院所應摯發收據交予保險對象或家屬收存。應另檢</w:t>
      </w:r>
      <w:proofErr w:type="gramStart"/>
      <w:r w:rsidRPr="00170D3C">
        <w:rPr>
          <w:rFonts w:ascii="Arial" w:hAnsi="Arial" w:cs="Arial"/>
          <w:color w:val="000000"/>
        </w:rPr>
        <w:t>附明細表詳</w:t>
      </w:r>
      <w:proofErr w:type="gramEnd"/>
      <w:r w:rsidRPr="00170D3C">
        <w:rPr>
          <w:rFonts w:ascii="Arial" w:hAnsi="Arial" w:cs="Arial"/>
          <w:color w:val="000000"/>
        </w:rPr>
        <w:t>列自付差額品項名稱、品項代碼、單價、數量及自費總金額，提供保險對象或家屬收存。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七、如何獲得醫療院所收費等相關資訊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醫療院所應將其所進用之「高密度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高解析度定位診斷導管」的品項名稱、品項代碼、收費標準（包括醫院自費價、健保支付價及保險對象負擔費用）、產品特性、副作用、與本保險已給</w:t>
      </w:r>
      <w:proofErr w:type="gramStart"/>
      <w:r w:rsidRPr="00170D3C">
        <w:rPr>
          <w:rFonts w:ascii="Arial" w:hAnsi="Arial" w:cs="Arial"/>
          <w:color w:val="000000"/>
        </w:rPr>
        <w:t>付品</w:t>
      </w:r>
      <w:proofErr w:type="gramEnd"/>
      <w:r w:rsidRPr="00170D3C">
        <w:rPr>
          <w:rFonts w:ascii="Arial" w:hAnsi="Arial" w:cs="Arial"/>
          <w:color w:val="000000"/>
        </w:rPr>
        <w:t>項之療效比較等相關資訊，置於醫療院所之網際網路或明顯之處所，以供民眾查詢，健保署會不定期派員稽查，來確保病患的權益。另健保署會將「高密度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高解析度定位診斷導管」的相關資訊置於健保署全球資訊網站</w:t>
      </w:r>
      <w:proofErr w:type="gramStart"/>
      <w:r w:rsidRPr="00170D3C">
        <w:rPr>
          <w:rFonts w:ascii="Arial" w:hAnsi="Arial" w:cs="Arial"/>
          <w:color w:val="000000"/>
        </w:rPr>
        <w:t>（</w:t>
      </w:r>
      <w:proofErr w:type="gramEnd"/>
      <w:r w:rsidRPr="00170D3C">
        <w:rPr>
          <w:rFonts w:ascii="Arial" w:hAnsi="Arial" w:cs="Arial"/>
          <w:color w:val="000000"/>
        </w:rPr>
        <w:t>網址：</w:t>
      </w:r>
      <w:r w:rsidRPr="00170D3C">
        <w:rPr>
          <w:rFonts w:ascii="Arial" w:hAnsi="Arial" w:cs="Arial"/>
          <w:color w:val="000000"/>
        </w:rPr>
        <w:t>http://www.nhi.gov.tw</w:t>
      </w:r>
      <w:r w:rsidRPr="00170D3C">
        <w:rPr>
          <w:rFonts w:ascii="Arial" w:hAnsi="Arial" w:cs="Arial"/>
          <w:color w:val="000000"/>
        </w:rPr>
        <w:t>／首頁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健保服務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健保藥品與</w:t>
      </w:r>
      <w:proofErr w:type="gramStart"/>
      <w:r w:rsidRPr="00170D3C">
        <w:rPr>
          <w:rFonts w:ascii="Arial" w:hAnsi="Arial" w:cs="Arial"/>
          <w:color w:val="000000"/>
        </w:rPr>
        <w:t>特</w:t>
      </w:r>
      <w:proofErr w:type="gramEnd"/>
      <w:r w:rsidRPr="00170D3C">
        <w:rPr>
          <w:rFonts w:ascii="Arial" w:hAnsi="Arial" w:cs="Arial"/>
          <w:color w:val="000000"/>
        </w:rPr>
        <w:t>材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健保特殊材料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</w:t>
      </w:r>
      <w:proofErr w:type="gramStart"/>
      <w:r w:rsidRPr="00170D3C">
        <w:rPr>
          <w:rFonts w:ascii="Arial" w:hAnsi="Arial" w:cs="Arial"/>
          <w:color w:val="000000"/>
        </w:rPr>
        <w:t>特材品</w:t>
      </w:r>
      <w:proofErr w:type="gramEnd"/>
      <w:r w:rsidRPr="00170D3C">
        <w:rPr>
          <w:rFonts w:ascii="Arial" w:hAnsi="Arial" w:cs="Arial"/>
          <w:color w:val="000000"/>
        </w:rPr>
        <w:t>項查詢</w:t>
      </w:r>
      <w:r w:rsidRPr="00170D3C">
        <w:rPr>
          <w:rFonts w:ascii="Arial" w:hAnsi="Arial" w:cs="Arial"/>
          <w:color w:val="000000"/>
        </w:rPr>
        <w:t>/</w:t>
      </w:r>
      <w:r w:rsidRPr="00170D3C">
        <w:rPr>
          <w:rFonts w:ascii="Arial" w:hAnsi="Arial" w:cs="Arial"/>
          <w:color w:val="000000"/>
        </w:rPr>
        <w:t>健保自付差額</w:t>
      </w:r>
      <w:r w:rsidRPr="00170D3C">
        <w:rPr>
          <w:rFonts w:ascii="Arial" w:hAnsi="Arial" w:cs="Arial"/>
          <w:color w:val="000000"/>
        </w:rPr>
        <w:t>(</w:t>
      </w:r>
      <w:r w:rsidRPr="00170D3C">
        <w:rPr>
          <w:rFonts w:ascii="Arial" w:hAnsi="Arial" w:cs="Arial"/>
          <w:color w:val="000000"/>
        </w:rPr>
        <w:t>差額負擔</w:t>
      </w:r>
      <w:r w:rsidRPr="00170D3C">
        <w:rPr>
          <w:rFonts w:ascii="Arial" w:hAnsi="Arial" w:cs="Arial"/>
          <w:color w:val="000000"/>
        </w:rPr>
        <w:t>)</w:t>
      </w:r>
      <w:proofErr w:type="gramStart"/>
      <w:r w:rsidRPr="00170D3C">
        <w:rPr>
          <w:rFonts w:ascii="Arial" w:hAnsi="Arial" w:cs="Arial"/>
          <w:color w:val="000000"/>
        </w:rPr>
        <w:t>）</w:t>
      </w:r>
      <w:proofErr w:type="gramEnd"/>
      <w:r w:rsidRPr="00170D3C">
        <w:rPr>
          <w:rFonts w:ascii="Arial" w:hAnsi="Arial" w:cs="Arial"/>
          <w:color w:val="000000"/>
        </w:rPr>
        <w:t>，民眾可上網查詢，並可</w:t>
      </w:r>
      <w:proofErr w:type="gramStart"/>
      <w:r w:rsidRPr="00170D3C">
        <w:rPr>
          <w:rFonts w:ascii="Arial" w:hAnsi="Arial" w:cs="Arial"/>
          <w:color w:val="000000"/>
        </w:rPr>
        <w:t>至本署全球</w:t>
      </w:r>
      <w:proofErr w:type="gramEnd"/>
      <w:r w:rsidRPr="00170D3C">
        <w:rPr>
          <w:rFonts w:ascii="Arial" w:hAnsi="Arial" w:cs="Arial"/>
          <w:color w:val="000000"/>
        </w:rPr>
        <w:t>資訊網「自費</w:t>
      </w:r>
      <w:proofErr w:type="gramStart"/>
      <w:r w:rsidRPr="00170D3C">
        <w:rPr>
          <w:rFonts w:ascii="Arial" w:hAnsi="Arial" w:cs="Arial"/>
          <w:color w:val="000000"/>
        </w:rPr>
        <w:t>醫</w:t>
      </w:r>
      <w:proofErr w:type="gramEnd"/>
      <w:r w:rsidRPr="00170D3C">
        <w:rPr>
          <w:rFonts w:ascii="Arial" w:hAnsi="Arial" w:cs="Arial"/>
          <w:color w:val="000000"/>
        </w:rPr>
        <w:t>材比價網」搜尋醫療院所自費標準。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八、如何檢舉及申訴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民眾就醫時，如果遇到醫療院所未依上述規定時，可透過以下管道提出申訴或檢舉。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1.</w:t>
      </w:r>
      <w:r w:rsidRPr="00170D3C">
        <w:rPr>
          <w:rFonts w:ascii="Arial" w:hAnsi="Arial" w:cs="Arial"/>
          <w:color w:val="000000"/>
        </w:rPr>
        <w:t>打</w:t>
      </w:r>
      <w:r w:rsidRPr="00170D3C">
        <w:rPr>
          <w:rFonts w:ascii="Arial" w:hAnsi="Arial" w:cs="Arial"/>
          <w:color w:val="000000"/>
        </w:rPr>
        <w:t>0800-030598</w:t>
      </w:r>
      <w:r w:rsidRPr="00170D3C">
        <w:rPr>
          <w:rFonts w:ascii="Arial" w:hAnsi="Arial" w:cs="Arial"/>
          <w:color w:val="000000"/>
        </w:rPr>
        <w:t>免付費電話，有專人馬上為您提供諮詢服務。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2.</w:t>
      </w:r>
      <w:r w:rsidRPr="00170D3C">
        <w:rPr>
          <w:rFonts w:ascii="Arial" w:hAnsi="Arial" w:cs="Arial"/>
          <w:color w:val="000000"/>
        </w:rPr>
        <w:t>透過健保署全球資訊網之民眾意見信箱</w:t>
      </w:r>
      <w:r w:rsidRPr="00170D3C">
        <w:rPr>
          <w:rFonts w:ascii="Arial" w:hAnsi="Arial" w:cs="Arial"/>
          <w:color w:val="000000"/>
        </w:rPr>
        <w:t>E-mail</w:t>
      </w:r>
      <w:r w:rsidRPr="00170D3C">
        <w:rPr>
          <w:rFonts w:ascii="Arial" w:hAnsi="Arial" w:cs="Arial"/>
          <w:color w:val="000000"/>
        </w:rPr>
        <w:t>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Arial" w:hAnsi="Arial" w:cs="Arial"/>
          <w:color w:val="000000"/>
        </w:rPr>
        <w:t>3.</w:t>
      </w:r>
      <w:r w:rsidRPr="00170D3C">
        <w:rPr>
          <w:rFonts w:ascii="Arial" w:hAnsi="Arial" w:cs="Arial"/>
          <w:color w:val="000000"/>
        </w:rPr>
        <w:t>親自到健保署各分區業務組或聯絡辦公室。</w:t>
      </w:r>
    </w:p>
    <w:p w:rsidR="00170D3C" w:rsidRPr="00170D3C" w:rsidRDefault="00170D3C" w:rsidP="00170D3C">
      <w:pPr>
        <w:pStyle w:val="Web"/>
        <w:shd w:val="clear" w:color="auto" w:fill="FFFFFF"/>
        <w:spacing w:before="240" w:beforeAutospacing="0" w:after="120" w:afterAutospacing="0" w:line="240" w:lineRule="exact"/>
        <w:rPr>
          <w:rFonts w:ascii="Arial" w:hAnsi="Arial" w:cs="Arial"/>
          <w:color w:val="000000"/>
        </w:rPr>
      </w:pPr>
      <w:r w:rsidRPr="00170D3C">
        <w:rPr>
          <w:rFonts w:ascii="細明體" w:eastAsia="細明體" w:hAnsi="細明體" w:cs="細明體" w:hint="eastAsia"/>
          <w:color w:val="000000"/>
        </w:rPr>
        <w:t>◎</w:t>
      </w:r>
      <w:proofErr w:type="gramStart"/>
      <w:r w:rsidRPr="00170D3C">
        <w:rPr>
          <w:rFonts w:ascii="Arial" w:hAnsi="Arial" w:cs="Arial"/>
          <w:color w:val="000000"/>
        </w:rPr>
        <w:t>註﹕</w:t>
      </w:r>
      <w:proofErr w:type="gramEnd"/>
      <w:r w:rsidRPr="00170D3C">
        <w:rPr>
          <w:rFonts w:ascii="Arial" w:hAnsi="Arial" w:cs="Arial"/>
          <w:color w:val="000000"/>
        </w:rPr>
        <w:t>資料來源：參考中華民國心律醫學會意見整理</w:t>
      </w:r>
    </w:p>
    <w:p w:rsidR="00170D3C" w:rsidRPr="00170D3C" w:rsidRDefault="00170D3C" w:rsidP="00170D3C">
      <w:pPr>
        <w:spacing w:line="220" w:lineRule="atLeast"/>
        <w:jc w:val="center"/>
        <w:rPr>
          <w:szCs w:val="24"/>
        </w:rPr>
      </w:pPr>
    </w:p>
    <w:sectPr w:rsidR="00170D3C" w:rsidRPr="00170D3C" w:rsidSect="00170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3C"/>
    <w:rsid w:val="00170D3C"/>
    <w:rsid w:val="006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0D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0D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385C-E34F-487C-9DF0-00182C4A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inp</cp:lastModifiedBy>
  <cp:revision>1</cp:revision>
  <dcterms:created xsi:type="dcterms:W3CDTF">2024-02-05T01:28:00Z</dcterms:created>
  <dcterms:modified xsi:type="dcterms:W3CDTF">2024-02-05T01:34:00Z</dcterms:modified>
</cp:coreProperties>
</file>